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B8A6" w14:textId="6CB0E200" w:rsidR="0058240E" w:rsidRPr="0020024A" w:rsidRDefault="0058240E" w:rsidP="0058240E">
      <w:r>
        <w:t xml:space="preserve">Tuto směrnici vytvořil Ing. Milan Hron ve spolupráci s FSC ČR a </w:t>
      </w:r>
      <w:proofErr w:type="gramStart"/>
      <w:r>
        <w:t>slouží</w:t>
      </w:r>
      <w:proofErr w:type="gramEnd"/>
      <w:r>
        <w:t xml:space="preserve"> jako nezávazný vzor k naplnění dílčích požadavků </w:t>
      </w:r>
      <w:r w:rsidR="003D008C">
        <w:t>Č</w:t>
      </w:r>
      <w:r>
        <w:t xml:space="preserve">eského Standardu </w:t>
      </w:r>
      <w:r w:rsidRPr="00BD2EA5">
        <w:t>FSC-STD-CZE-02-2024 CZ</w:t>
      </w:r>
      <w:r>
        <w:t xml:space="preserve">. Podoba znění této směrnice není závazná, ale </w:t>
      </w:r>
      <w:proofErr w:type="gramStart"/>
      <w:r>
        <w:t>slouží</w:t>
      </w:r>
      <w:proofErr w:type="gramEnd"/>
      <w:r>
        <w:t xml:space="preserve"> jako možný podklad pro držitele a zájemce o lesní certifikát FSC. Žlutě podbarvený text je určen k doplnění/úpravě. Posouzení správnosti této směrnice je plně v kompetenci certifikační firmy. Tento text byl aktualizován 6.8.2024. </w:t>
      </w:r>
    </w:p>
    <w:p w14:paraId="5B9C3659" w14:textId="77777777" w:rsidR="0058240E" w:rsidRDefault="0058240E">
      <w:pPr>
        <w:pStyle w:val="Nadpis2"/>
      </w:pPr>
    </w:p>
    <w:p w14:paraId="5387321F" w14:textId="0781C0DF" w:rsidR="00931BB2" w:rsidRDefault="00504BD9">
      <w:pPr>
        <w:pStyle w:val="Nadpis2"/>
        <w:rPr>
          <w:color w:val="7030A0"/>
        </w:rPr>
      </w:pPr>
      <w:r>
        <w:t>Směrnice (FSC)</w:t>
      </w:r>
      <w:r w:rsidR="00931BB2">
        <w:t xml:space="preserve"> </w:t>
      </w:r>
      <w:r w:rsidR="00DC11AF">
        <w:t>č. 1, verze 1</w:t>
      </w:r>
    </w:p>
    <w:p w14:paraId="3BAB089A" w14:textId="77777777" w:rsidR="00EB7428" w:rsidRPr="00EB7428" w:rsidRDefault="00EB7428" w:rsidP="00EB7428"/>
    <w:p w14:paraId="4C0076D0" w14:textId="77777777" w:rsidR="0058240E" w:rsidRDefault="0058240E" w:rsidP="0058240E">
      <w:pPr>
        <w:pStyle w:val="Nadpis3"/>
        <w:rPr>
          <w:b/>
          <w:bCs/>
          <w:u w:val="single"/>
        </w:rPr>
      </w:pPr>
      <w:r>
        <w:rPr>
          <w:b/>
          <w:bCs/>
          <w:u w:val="single"/>
        </w:rPr>
        <w:t>Řešení sporů</w:t>
      </w:r>
    </w:p>
    <w:p w14:paraId="48DAE25A" w14:textId="77777777" w:rsidR="0058240E" w:rsidRPr="00FB3694" w:rsidRDefault="0058240E" w:rsidP="0058240E"/>
    <w:p w14:paraId="102A79E7" w14:textId="2DB0CF8A" w:rsidR="0058240E" w:rsidRPr="00BD2EA5" w:rsidRDefault="0058240E" w:rsidP="0058240E">
      <w:pPr>
        <w:jc w:val="center"/>
      </w:pPr>
      <w:r w:rsidRPr="00BD2EA5">
        <w:t xml:space="preserve">upravená ve znění </w:t>
      </w:r>
      <w:bookmarkStart w:id="0" w:name="_Hlk168644472"/>
      <w:r w:rsidRPr="00BD2EA5">
        <w:t xml:space="preserve">Českého </w:t>
      </w:r>
      <w:r w:rsidR="003D008C">
        <w:t>S</w:t>
      </w:r>
      <w:r w:rsidRPr="00BD2EA5">
        <w:t>tandardu FSC</w:t>
      </w:r>
      <w:bookmarkEnd w:id="0"/>
      <w:r w:rsidRPr="00BD2EA5">
        <w:t xml:space="preserve"> </w:t>
      </w:r>
      <w:r>
        <w:t>(</w:t>
      </w:r>
      <w:r w:rsidRPr="00BD2EA5">
        <w:t>FSC-STD-CZE-02-2024 CZ</w:t>
      </w:r>
      <w:r>
        <w:t xml:space="preserve">) </w:t>
      </w:r>
    </w:p>
    <w:p w14:paraId="48935947" w14:textId="77777777" w:rsidR="0058240E" w:rsidRDefault="0058240E" w:rsidP="0058240E">
      <w:pPr>
        <w:rPr>
          <w:sz w:val="22"/>
        </w:rPr>
      </w:pPr>
    </w:p>
    <w:p w14:paraId="57D4C1C6" w14:textId="77777777" w:rsidR="0058240E" w:rsidRDefault="0058240E" w:rsidP="0058240E">
      <w:pPr>
        <w:rPr>
          <w:sz w:val="22"/>
        </w:rPr>
      </w:pPr>
    </w:p>
    <w:p w14:paraId="181A9FA0" w14:textId="77777777" w:rsidR="0058240E" w:rsidRPr="00C74281" w:rsidRDefault="0058240E" w:rsidP="0058240E">
      <w:pPr>
        <w:rPr>
          <w:sz w:val="22"/>
        </w:rPr>
      </w:pPr>
    </w:p>
    <w:p w14:paraId="506A76AB" w14:textId="77777777" w:rsidR="0058240E" w:rsidRPr="00C74281" w:rsidRDefault="0058240E" w:rsidP="0058240E">
      <w:pPr>
        <w:rPr>
          <w:sz w:val="24"/>
        </w:rPr>
      </w:pPr>
      <w:r w:rsidRPr="00C74281">
        <w:rPr>
          <w:sz w:val="24"/>
          <w:u w:val="single"/>
        </w:rPr>
        <w:t xml:space="preserve">určeno: </w:t>
      </w:r>
      <w:r w:rsidRPr="00C74281">
        <w:rPr>
          <w:sz w:val="24"/>
          <w:highlight w:val="yellow"/>
        </w:rPr>
        <w:t>……</w:t>
      </w:r>
      <w:r w:rsidRPr="00C74281">
        <w:rPr>
          <w:sz w:val="24"/>
        </w:rPr>
        <w:t xml:space="preserve"> </w:t>
      </w:r>
    </w:p>
    <w:p w14:paraId="1F576B25" w14:textId="77777777" w:rsidR="0058240E" w:rsidRPr="00C74281" w:rsidRDefault="0058240E" w:rsidP="0058240E">
      <w:pPr>
        <w:rPr>
          <w:sz w:val="24"/>
          <w:u w:val="single"/>
        </w:rPr>
      </w:pPr>
      <w:r w:rsidRPr="00C74281">
        <w:rPr>
          <w:sz w:val="24"/>
          <w:u w:val="single"/>
        </w:rPr>
        <w:t>platnost od:</w:t>
      </w:r>
      <w:r w:rsidRPr="00C74281">
        <w:rPr>
          <w:sz w:val="24"/>
        </w:rPr>
        <w:t xml:space="preserve"> </w:t>
      </w:r>
      <w:r w:rsidRPr="00C74281">
        <w:rPr>
          <w:sz w:val="24"/>
          <w:highlight w:val="yellow"/>
        </w:rPr>
        <w:t>……</w:t>
      </w:r>
      <w:proofErr w:type="gramStart"/>
      <w:r w:rsidRPr="00C74281">
        <w:rPr>
          <w:sz w:val="24"/>
          <w:highlight w:val="yellow"/>
        </w:rPr>
        <w:t>…….</w:t>
      </w:r>
      <w:proofErr w:type="spellStart"/>
      <w:proofErr w:type="gramEnd"/>
      <w:r w:rsidRPr="00EA3AB9">
        <w:rPr>
          <w:sz w:val="24"/>
          <w:highlight w:val="yellow"/>
        </w:rPr>
        <w:t>xx.yy.zzzz</w:t>
      </w:r>
      <w:proofErr w:type="spellEnd"/>
    </w:p>
    <w:p w14:paraId="77B628EE" w14:textId="77777777" w:rsidR="0058240E" w:rsidRPr="00C74281" w:rsidRDefault="0058240E" w:rsidP="0058240E">
      <w:pPr>
        <w:rPr>
          <w:sz w:val="24"/>
          <w:u w:val="single"/>
        </w:rPr>
      </w:pPr>
      <w:r w:rsidRPr="00C74281">
        <w:rPr>
          <w:sz w:val="24"/>
          <w:u w:val="single"/>
        </w:rPr>
        <w:t>platnost do:</w:t>
      </w:r>
      <w:r w:rsidRPr="00C74281">
        <w:rPr>
          <w:sz w:val="24"/>
        </w:rPr>
        <w:t xml:space="preserve"> </w:t>
      </w:r>
      <w:r w:rsidRPr="00C74281">
        <w:rPr>
          <w:sz w:val="24"/>
          <w:highlight w:val="yellow"/>
        </w:rPr>
        <w:t>zrušení</w:t>
      </w:r>
    </w:p>
    <w:p w14:paraId="224D1F09" w14:textId="77777777" w:rsidR="0058240E" w:rsidRDefault="0058240E" w:rsidP="0058240E">
      <w:pPr>
        <w:rPr>
          <w:sz w:val="24"/>
        </w:rPr>
      </w:pPr>
      <w:r w:rsidRPr="00C74281">
        <w:rPr>
          <w:sz w:val="24"/>
          <w:u w:val="single"/>
        </w:rPr>
        <w:t>publikováno:</w:t>
      </w:r>
      <w:r w:rsidRPr="00C74281">
        <w:rPr>
          <w:sz w:val="24"/>
        </w:rPr>
        <w:t xml:space="preserve"> </w:t>
      </w:r>
      <w:r w:rsidRPr="00EA3AB9">
        <w:rPr>
          <w:sz w:val="24"/>
          <w:highlight w:val="yellow"/>
        </w:rPr>
        <w:t>…</w:t>
      </w:r>
      <w:proofErr w:type="gramStart"/>
      <w:r w:rsidRPr="00EA3AB9">
        <w:rPr>
          <w:sz w:val="24"/>
          <w:highlight w:val="yellow"/>
        </w:rPr>
        <w:t>…….</w:t>
      </w:r>
      <w:proofErr w:type="gramEnd"/>
      <w:r w:rsidRPr="00EA3AB9">
        <w:rPr>
          <w:sz w:val="24"/>
          <w:highlight w:val="yellow"/>
        </w:rPr>
        <w:t>(kdy, kde, odkaz)</w:t>
      </w:r>
      <w:r w:rsidRPr="00EA3AB9">
        <w:rPr>
          <w:sz w:val="24"/>
        </w:rPr>
        <w:t xml:space="preserve"> </w:t>
      </w:r>
    </w:p>
    <w:p w14:paraId="03AC5764" w14:textId="77777777" w:rsidR="0058240E" w:rsidRDefault="0058240E" w:rsidP="0058240E">
      <w:pPr>
        <w:rPr>
          <w:sz w:val="24"/>
        </w:rPr>
      </w:pPr>
      <w:r w:rsidRPr="008B6C9E">
        <w:rPr>
          <w:sz w:val="24"/>
          <w:u w:val="single"/>
        </w:rPr>
        <w:t>směrnici vytvořil</w:t>
      </w:r>
      <w:r>
        <w:rPr>
          <w:sz w:val="24"/>
        </w:rPr>
        <w:t xml:space="preserve">: </w:t>
      </w:r>
      <w:r w:rsidRPr="008B6C9E">
        <w:rPr>
          <w:sz w:val="24"/>
          <w:highlight w:val="yellow"/>
        </w:rPr>
        <w:t>….</w:t>
      </w:r>
    </w:p>
    <w:p w14:paraId="05A156DF" w14:textId="77777777" w:rsidR="0058240E" w:rsidRPr="00C74281" w:rsidRDefault="0058240E" w:rsidP="0058240E">
      <w:pPr>
        <w:rPr>
          <w:sz w:val="24"/>
        </w:rPr>
      </w:pPr>
      <w:r>
        <w:rPr>
          <w:sz w:val="24"/>
          <w:u w:val="single"/>
        </w:rPr>
        <w:t>s</w:t>
      </w:r>
      <w:r w:rsidRPr="008B6C9E">
        <w:rPr>
          <w:sz w:val="24"/>
          <w:u w:val="single"/>
        </w:rPr>
        <w:t>měrnici schválil</w:t>
      </w:r>
      <w:r>
        <w:rPr>
          <w:sz w:val="24"/>
        </w:rPr>
        <w:t xml:space="preserve">: </w:t>
      </w:r>
      <w:r w:rsidRPr="008B6C9E">
        <w:rPr>
          <w:sz w:val="24"/>
          <w:highlight w:val="yellow"/>
        </w:rPr>
        <w:t>…</w:t>
      </w:r>
    </w:p>
    <w:p w14:paraId="198E5DB0" w14:textId="77777777" w:rsidR="0058240E" w:rsidRPr="00C74281" w:rsidRDefault="0058240E" w:rsidP="0058240E">
      <w:pPr>
        <w:rPr>
          <w:sz w:val="24"/>
          <w:u w:val="single"/>
        </w:rPr>
      </w:pPr>
    </w:p>
    <w:p w14:paraId="05ACF704" w14:textId="77777777" w:rsidR="0058240E" w:rsidRPr="00C74281" w:rsidRDefault="0058240E" w:rsidP="0058240E">
      <w:pPr>
        <w:rPr>
          <w:sz w:val="24"/>
          <w:u w:val="single"/>
        </w:rPr>
      </w:pPr>
      <w:r w:rsidRPr="00C74281">
        <w:rPr>
          <w:sz w:val="24"/>
          <w:u w:val="single"/>
        </w:rPr>
        <w:t>ruší se:</w:t>
      </w:r>
      <w:r w:rsidRPr="00C74281">
        <w:rPr>
          <w:sz w:val="24"/>
        </w:rPr>
        <w:t xml:space="preserve"> Směrnice (FSC) </w:t>
      </w:r>
      <w:r w:rsidRPr="00C74281">
        <w:rPr>
          <w:sz w:val="24"/>
          <w:highlight w:val="yellow"/>
        </w:rPr>
        <w:t>č. … z </w:t>
      </w:r>
      <w:proofErr w:type="spellStart"/>
      <w:r w:rsidRPr="00C74281">
        <w:rPr>
          <w:sz w:val="24"/>
          <w:highlight w:val="yellow"/>
        </w:rPr>
        <w:t>xx.</w:t>
      </w:r>
      <w:proofErr w:type="gramStart"/>
      <w:r w:rsidRPr="00C74281">
        <w:rPr>
          <w:sz w:val="24"/>
          <w:highlight w:val="yellow"/>
        </w:rPr>
        <w:t>yy.zzzz</w:t>
      </w:r>
      <w:proofErr w:type="spellEnd"/>
      <w:proofErr w:type="gramEnd"/>
    </w:p>
    <w:p w14:paraId="578D1245" w14:textId="77777777" w:rsidR="0058240E" w:rsidRPr="00C74281" w:rsidRDefault="0058240E" w:rsidP="0058240E">
      <w:pPr>
        <w:rPr>
          <w:sz w:val="24"/>
          <w:u w:val="single"/>
        </w:rPr>
      </w:pPr>
      <w:r w:rsidRPr="00C74281">
        <w:rPr>
          <w:sz w:val="24"/>
          <w:u w:val="single"/>
        </w:rPr>
        <w:t>tato Směrnice doplňuje:</w:t>
      </w:r>
      <w:r w:rsidRPr="00C74281">
        <w:rPr>
          <w:sz w:val="24"/>
        </w:rPr>
        <w:t xml:space="preserve"> </w:t>
      </w:r>
      <w:r w:rsidRPr="00C74281">
        <w:rPr>
          <w:sz w:val="24"/>
          <w:highlight w:val="yellow"/>
        </w:rPr>
        <w:t>…</w:t>
      </w:r>
    </w:p>
    <w:p w14:paraId="5A02B549" w14:textId="77777777" w:rsidR="0058240E" w:rsidRPr="00C74281" w:rsidRDefault="0058240E" w:rsidP="0058240E">
      <w:pPr>
        <w:rPr>
          <w:sz w:val="24"/>
          <w:u w:val="single"/>
        </w:rPr>
      </w:pPr>
    </w:p>
    <w:p w14:paraId="34F191A7" w14:textId="77777777" w:rsidR="0058240E" w:rsidRPr="00C74281" w:rsidRDefault="0058240E" w:rsidP="0058240E">
      <w:pPr>
        <w:rPr>
          <w:sz w:val="24"/>
        </w:rPr>
      </w:pPr>
      <w:proofErr w:type="gramStart"/>
      <w:r w:rsidRPr="00C74281">
        <w:rPr>
          <w:sz w:val="24"/>
          <w:u w:val="single"/>
        </w:rPr>
        <w:t>Přílohy:</w:t>
      </w:r>
      <w:r w:rsidRPr="00C74281">
        <w:rPr>
          <w:sz w:val="24"/>
        </w:rPr>
        <w:t xml:space="preserve"> </w:t>
      </w:r>
      <w:r w:rsidRPr="008B6C9E">
        <w:rPr>
          <w:sz w:val="24"/>
          <w:highlight w:val="yellow"/>
        </w:rPr>
        <w:t>….</w:t>
      </w:r>
      <w:proofErr w:type="gramEnd"/>
      <w:r w:rsidRPr="008B6C9E">
        <w:rPr>
          <w:sz w:val="24"/>
          <w:highlight w:val="yellow"/>
        </w:rPr>
        <w:t>.</w:t>
      </w:r>
    </w:p>
    <w:p w14:paraId="326D8F3B" w14:textId="77777777" w:rsidR="0058240E" w:rsidRDefault="0058240E" w:rsidP="0058240E">
      <w:pPr>
        <w:rPr>
          <w:sz w:val="24"/>
        </w:rPr>
      </w:pPr>
    </w:p>
    <w:p w14:paraId="53873220" w14:textId="77777777" w:rsidR="00931BB2" w:rsidRDefault="00931BB2"/>
    <w:p w14:paraId="5387322F" w14:textId="77777777" w:rsidR="00931BB2" w:rsidRDefault="00931BB2">
      <w:pPr>
        <w:rPr>
          <w:sz w:val="24"/>
        </w:rPr>
      </w:pPr>
    </w:p>
    <w:p w14:paraId="53873230" w14:textId="77777777" w:rsidR="00931BB2" w:rsidRDefault="00931BB2">
      <w:pPr>
        <w:rPr>
          <w:sz w:val="22"/>
        </w:rPr>
      </w:pPr>
    </w:p>
    <w:p w14:paraId="53873231" w14:textId="4094B91D" w:rsidR="00931BB2" w:rsidRDefault="0063207E" w:rsidP="00242D6E">
      <w:pPr>
        <w:pStyle w:val="Nadpis3"/>
        <w:numPr>
          <w:ilvl w:val="0"/>
          <w:numId w:val="21"/>
        </w:numPr>
        <w:ind w:left="567" w:hanging="567"/>
        <w:rPr>
          <w:b/>
          <w:bCs/>
          <w:u w:val="single"/>
        </w:rPr>
      </w:pPr>
      <w:bookmarkStart w:id="1" w:name="_Hlk168644874"/>
      <w:r>
        <w:rPr>
          <w:b/>
          <w:bCs/>
          <w:u w:val="single"/>
        </w:rPr>
        <w:t>Důvod existence a potřebnosti Směrnice</w:t>
      </w:r>
    </w:p>
    <w:bookmarkEnd w:id="1"/>
    <w:p w14:paraId="53873232" w14:textId="77777777" w:rsidR="00931BB2" w:rsidRDefault="00931BB2" w:rsidP="00242D6E">
      <w:pPr>
        <w:ind w:left="567" w:hanging="567"/>
        <w:rPr>
          <w:sz w:val="22"/>
        </w:rPr>
      </w:pPr>
    </w:p>
    <w:p w14:paraId="53873233" w14:textId="2C77BCFE" w:rsidR="00931BB2" w:rsidRDefault="0063207E" w:rsidP="00242D6E">
      <w:pPr>
        <w:numPr>
          <w:ilvl w:val="0"/>
          <w:numId w:val="23"/>
        </w:numPr>
        <w:ind w:left="284" w:hanging="284"/>
        <w:rPr>
          <w:sz w:val="24"/>
        </w:rPr>
      </w:pPr>
      <w:r>
        <w:rPr>
          <w:sz w:val="24"/>
        </w:rPr>
        <w:t xml:space="preserve">Základním důvodem pro existenci této Směrnice je </w:t>
      </w:r>
      <w:r w:rsidR="00EC1FBA">
        <w:rPr>
          <w:sz w:val="24"/>
        </w:rPr>
        <w:t xml:space="preserve">požadavek </w:t>
      </w:r>
      <w:r w:rsidR="00EC1FBA" w:rsidRPr="00EC1FBA">
        <w:rPr>
          <w:sz w:val="24"/>
        </w:rPr>
        <w:t xml:space="preserve">Českého </w:t>
      </w:r>
      <w:r w:rsidR="003D008C">
        <w:rPr>
          <w:sz w:val="24"/>
        </w:rPr>
        <w:t>S</w:t>
      </w:r>
      <w:r w:rsidR="00EC1FBA" w:rsidRPr="00EC1FBA">
        <w:rPr>
          <w:sz w:val="24"/>
        </w:rPr>
        <w:t>tandardu FSC</w:t>
      </w:r>
      <w:r w:rsidR="00EC1FBA">
        <w:rPr>
          <w:sz w:val="24"/>
        </w:rPr>
        <w:t xml:space="preserve"> 2024</w:t>
      </w:r>
      <w:r w:rsidR="00C2377E">
        <w:rPr>
          <w:sz w:val="24"/>
        </w:rPr>
        <w:t xml:space="preserve"> </w:t>
      </w:r>
      <w:r w:rsidR="00FB4FC8">
        <w:rPr>
          <w:sz w:val="24"/>
        </w:rPr>
        <w:t xml:space="preserve">(konkrétně indikátor </w:t>
      </w:r>
      <w:r w:rsidR="00340DAB">
        <w:rPr>
          <w:sz w:val="24"/>
        </w:rPr>
        <w:t>1.6.1 V „</w:t>
      </w:r>
      <w:r w:rsidR="000C32D4" w:rsidRPr="000C32D4">
        <w:rPr>
          <w:sz w:val="24"/>
        </w:rPr>
        <w:t>Vlastník* má veřejně dostupnou* směrnici pro řešení sporů* vytvořenou kulturně vhodným* zapojením* dotčených zájmových skupin*.</w:t>
      </w:r>
      <w:r w:rsidR="000C32D4">
        <w:rPr>
          <w:sz w:val="24"/>
        </w:rPr>
        <w:t xml:space="preserve">“), a to pro velké vlastníky </w:t>
      </w:r>
      <w:r w:rsidR="00B86260">
        <w:rPr>
          <w:sz w:val="24"/>
        </w:rPr>
        <w:t>nad 1000 ha.</w:t>
      </w:r>
    </w:p>
    <w:p w14:paraId="6A86FCA6" w14:textId="49ABB6D7" w:rsidR="00B86260" w:rsidRDefault="0044220B" w:rsidP="00242D6E">
      <w:pPr>
        <w:numPr>
          <w:ilvl w:val="0"/>
          <w:numId w:val="23"/>
        </w:numPr>
        <w:ind w:left="284" w:hanging="284"/>
        <w:rPr>
          <w:sz w:val="24"/>
        </w:rPr>
      </w:pPr>
      <w:r>
        <w:rPr>
          <w:sz w:val="24"/>
        </w:rPr>
        <w:t xml:space="preserve">Pro malé vlastníky do 1000 ha existuje mírnější požadavek indikátoru </w:t>
      </w:r>
      <w:r w:rsidR="00EA66F5">
        <w:rPr>
          <w:sz w:val="24"/>
        </w:rPr>
        <w:t>1.6.2 M</w:t>
      </w:r>
      <w:r w:rsidR="002C32DE">
        <w:rPr>
          <w:sz w:val="24"/>
        </w:rPr>
        <w:t xml:space="preserve"> („</w:t>
      </w:r>
      <w:r w:rsidR="002C32DE" w:rsidRPr="002C32DE">
        <w:rPr>
          <w:sz w:val="24"/>
        </w:rPr>
        <w:t xml:space="preserve">Vlastník* </w:t>
      </w:r>
      <w:proofErr w:type="gramStart"/>
      <w:r w:rsidR="002C32DE" w:rsidRPr="002C32DE">
        <w:rPr>
          <w:sz w:val="24"/>
        </w:rPr>
        <w:t>určí</w:t>
      </w:r>
      <w:proofErr w:type="gramEnd"/>
      <w:r w:rsidR="002C32DE" w:rsidRPr="002C32DE">
        <w:rPr>
          <w:sz w:val="24"/>
        </w:rPr>
        <w:t xml:space="preserve"> kontaktní osobu pro řešení sporů*.</w:t>
      </w:r>
      <w:r w:rsidR="002C32DE">
        <w:rPr>
          <w:sz w:val="24"/>
        </w:rPr>
        <w:t>“).</w:t>
      </w:r>
    </w:p>
    <w:p w14:paraId="1CAF78ED" w14:textId="3B20DB88" w:rsidR="00003A89" w:rsidRDefault="00003A89" w:rsidP="00242D6E">
      <w:pPr>
        <w:numPr>
          <w:ilvl w:val="0"/>
          <w:numId w:val="23"/>
        </w:numPr>
        <w:ind w:left="284" w:hanging="284"/>
        <w:rPr>
          <w:sz w:val="24"/>
        </w:rPr>
      </w:pPr>
      <w:r>
        <w:rPr>
          <w:sz w:val="24"/>
        </w:rPr>
        <w:t xml:space="preserve">Směrnice </w:t>
      </w:r>
      <w:proofErr w:type="gramStart"/>
      <w:r>
        <w:rPr>
          <w:sz w:val="24"/>
        </w:rPr>
        <w:t>řeší</w:t>
      </w:r>
      <w:proofErr w:type="gramEnd"/>
      <w:r>
        <w:rPr>
          <w:sz w:val="24"/>
        </w:rPr>
        <w:t xml:space="preserve"> také </w:t>
      </w:r>
      <w:r w:rsidR="003A0DC3">
        <w:rPr>
          <w:sz w:val="24"/>
        </w:rPr>
        <w:t>kritérium</w:t>
      </w:r>
      <w:r>
        <w:rPr>
          <w:sz w:val="24"/>
        </w:rPr>
        <w:t xml:space="preserve"> </w:t>
      </w:r>
      <w:r w:rsidR="00C679FC">
        <w:rPr>
          <w:sz w:val="24"/>
        </w:rPr>
        <w:t>2.6. „</w:t>
      </w:r>
      <w:r w:rsidR="000972B7" w:rsidRPr="000972B7">
        <w:rPr>
          <w:sz w:val="24"/>
        </w:rPr>
        <w:t>Vlastník* ve spolupráci* s pracovníky* vytvoří postupy pro řešení stížností a poskytování spravedlivé kompenzace* pracovníků* za ztrátu či poškození jejich majetku, nemoc z povolání* nebo pracovní úraz utrpěný při plnění pracovních úkolů pro vlastníka*.</w:t>
      </w:r>
      <w:r w:rsidR="00C679FC">
        <w:rPr>
          <w:sz w:val="24"/>
        </w:rPr>
        <w:t>“</w:t>
      </w:r>
    </w:p>
    <w:p w14:paraId="794FA4FA" w14:textId="63699FFE" w:rsidR="00941D4F" w:rsidRDefault="00BE6619" w:rsidP="00242D6E">
      <w:pPr>
        <w:numPr>
          <w:ilvl w:val="0"/>
          <w:numId w:val="23"/>
        </w:numPr>
        <w:ind w:left="284" w:hanging="284"/>
        <w:rPr>
          <w:sz w:val="24"/>
        </w:rPr>
      </w:pPr>
      <w:r>
        <w:rPr>
          <w:sz w:val="24"/>
        </w:rPr>
        <w:t>Obdobně je zde řešen</w:t>
      </w:r>
      <w:r w:rsidR="00F36FE4">
        <w:rPr>
          <w:sz w:val="24"/>
        </w:rPr>
        <w:t xml:space="preserve"> indikátor 4.</w:t>
      </w:r>
      <w:r w:rsidR="008965D9">
        <w:rPr>
          <w:sz w:val="24"/>
        </w:rPr>
        <w:t>6</w:t>
      </w:r>
      <w:r w:rsidR="00F36FE4">
        <w:rPr>
          <w:sz w:val="24"/>
        </w:rPr>
        <w:t>.1 „</w:t>
      </w:r>
      <w:r w:rsidR="008965D9" w:rsidRPr="008965D9">
        <w:rPr>
          <w:sz w:val="24"/>
        </w:rPr>
        <w:t>Je zaveden veřejně dostupný* proces řešení sporů* vytvořený prostřednictvím kulturně vhodného* zapojení* místních komunit*.</w:t>
      </w:r>
      <w:r w:rsidR="008965D9">
        <w:rPr>
          <w:sz w:val="24"/>
        </w:rPr>
        <w:t>“</w:t>
      </w:r>
    </w:p>
    <w:p w14:paraId="5CC2A115" w14:textId="7BCB29B4" w:rsidR="00C30F8A" w:rsidRPr="00C10D40" w:rsidRDefault="00A3005D" w:rsidP="00242D6E">
      <w:pPr>
        <w:numPr>
          <w:ilvl w:val="0"/>
          <w:numId w:val="23"/>
        </w:numPr>
        <w:ind w:left="284" w:hanging="284"/>
        <w:rPr>
          <w:sz w:val="24"/>
        </w:rPr>
      </w:pPr>
      <w:r w:rsidRPr="00C10D40">
        <w:rPr>
          <w:sz w:val="24"/>
        </w:rPr>
        <w:t>Požadavek St</w:t>
      </w:r>
      <w:r w:rsidR="00BC336F">
        <w:rPr>
          <w:sz w:val="24"/>
        </w:rPr>
        <w:t>andardu</w:t>
      </w:r>
      <w:r w:rsidRPr="00C10D40">
        <w:rPr>
          <w:sz w:val="24"/>
        </w:rPr>
        <w:t xml:space="preserve"> předchází „nekulturnímu řešení </w:t>
      </w:r>
      <w:r w:rsidR="00A05B1D" w:rsidRPr="00C10D40">
        <w:rPr>
          <w:sz w:val="24"/>
        </w:rPr>
        <w:t xml:space="preserve">sporů“, </w:t>
      </w:r>
      <w:r w:rsidR="00AD5D95" w:rsidRPr="00C10D40">
        <w:rPr>
          <w:sz w:val="24"/>
        </w:rPr>
        <w:t xml:space="preserve">za které lze považovat řešení násilné nebo nečestné </w:t>
      </w:r>
      <w:r w:rsidR="00184319" w:rsidRPr="00C10D40">
        <w:rPr>
          <w:sz w:val="24"/>
        </w:rPr>
        <w:t xml:space="preserve">(očerňování, </w:t>
      </w:r>
      <w:r w:rsidR="000972B7">
        <w:rPr>
          <w:sz w:val="24"/>
        </w:rPr>
        <w:t>nepotismus aj.</w:t>
      </w:r>
      <w:r w:rsidR="00662D1A" w:rsidRPr="00C10D40">
        <w:rPr>
          <w:sz w:val="24"/>
        </w:rPr>
        <w:t>)</w:t>
      </w:r>
    </w:p>
    <w:p w14:paraId="6C207B4A" w14:textId="77777777" w:rsidR="00100CDC" w:rsidRPr="000019B8" w:rsidRDefault="00100CDC" w:rsidP="00100CDC">
      <w:pPr>
        <w:rPr>
          <w:sz w:val="24"/>
        </w:rPr>
      </w:pPr>
    </w:p>
    <w:p w14:paraId="46BDECDC" w14:textId="35907ED6" w:rsidR="00100CDC" w:rsidRPr="000019B8" w:rsidRDefault="00C30F8A" w:rsidP="00100CDC">
      <w:pPr>
        <w:pStyle w:val="Nadpis3"/>
        <w:numPr>
          <w:ilvl w:val="0"/>
          <w:numId w:val="21"/>
        </w:numPr>
        <w:rPr>
          <w:b/>
          <w:bCs/>
          <w:u w:val="single"/>
        </w:rPr>
      </w:pPr>
      <w:r w:rsidRPr="000019B8">
        <w:rPr>
          <w:b/>
          <w:bCs/>
          <w:u w:val="single"/>
        </w:rPr>
        <w:t>Kulturní způsob řešení sporů</w:t>
      </w:r>
    </w:p>
    <w:p w14:paraId="4D6414AD" w14:textId="77777777" w:rsidR="00185C91" w:rsidRDefault="00185C91" w:rsidP="00185C91"/>
    <w:p w14:paraId="1C8A12D1" w14:textId="74188E1F" w:rsidR="00185C91" w:rsidRDefault="00D44D3D" w:rsidP="00185C91">
      <w:pPr>
        <w:pStyle w:val="Odstavecseseznamem"/>
        <w:numPr>
          <w:ilvl w:val="0"/>
          <w:numId w:val="28"/>
        </w:numPr>
        <w:ind w:left="284" w:hanging="284"/>
        <w:rPr>
          <w:sz w:val="24"/>
        </w:rPr>
      </w:pPr>
      <w:r>
        <w:rPr>
          <w:sz w:val="24"/>
        </w:rPr>
        <w:t xml:space="preserve">Kulturním způsobem řešení sporů je hledání smírných řešení </w:t>
      </w:r>
      <w:r w:rsidR="00D72B37">
        <w:rPr>
          <w:sz w:val="24"/>
        </w:rPr>
        <w:t xml:space="preserve">(smírné řešení ale není </w:t>
      </w:r>
      <w:r w:rsidR="00F02EA8">
        <w:rPr>
          <w:sz w:val="24"/>
        </w:rPr>
        <w:t>nutně řešení kompromisní)</w:t>
      </w:r>
      <w:r w:rsidR="001D1E2F">
        <w:rPr>
          <w:sz w:val="24"/>
        </w:rPr>
        <w:t xml:space="preserve"> s uzavřením případu nejlépe písemnou formou a vzájemným odsouhlasením</w:t>
      </w:r>
      <w:r w:rsidR="001414DE">
        <w:rPr>
          <w:sz w:val="24"/>
        </w:rPr>
        <w:t xml:space="preserve">. </w:t>
      </w:r>
    </w:p>
    <w:p w14:paraId="6AF27CAF" w14:textId="5394C068" w:rsidR="001414DE" w:rsidRDefault="001414DE" w:rsidP="00185C91">
      <w:pPr>
        <w:pStyle w:val="Odstavecseseznamem"/>
        <w:numPr>
          <w:ilvl w:val="0"/>
          <w:numId w:val="28"/>
        </w:numPr>
        <w:ind w:left="284" w:hanging="284"/>
        <w:rPr>
          <w:sz w:val="24"/>
        </w:rPr>
      </w:pPr>
      <w:r>
        <w:rPr>
          <w:sz w:val="24"/>
        </w:rPr>
        <w:t xml:space="preserve">Pokud se </w:t>
      </w:r>
      <w:proofErr w:type="gramStart"/>
      <w:r>
        <w:rPr>
          <w:sz w:val="24"/>
        </w:rPr>
        <w:t>nepodaří</w:t>
      </w:r>
      <w:proofErr w:type="gramEnd"/>
      <w:r>
        <w:rPr>
          <w:sz w:val="24"/>
        </w:rPr>
        <w:t xml:space="preserve"> </w:t>
      </w:r>
      <w:r w:rsidR="00A8052E">
        <w:rPr>
          <w:sz w:val="24"/>
        </w:rPr>
        <w:t xml:space="preserve">nalézt smírné řešení přímo jednáním </w:t>
      </w:r>
      <w:r w:rsidR="00B362D9">
        <w:rPr>
          <w:sz w:val="24"/>
        </w:rPr>
        <w:t>stran, je vhodné přizvat mediátora (nezávislou třetí stranu).</w:t>
      </w:r>
    </w:p>
    <w:p w14:paraId="13E8E3FE" w14:textId="2657A741" w:rsidR="00B362D9" w:rsidRDefault="002A16ED" w:rsidP="00185C91">
      <w:pPr>
        <w:pStyle w:val="Odstavecseseznamem"/>
        <w:numPr>
          <w:ilvl w:val="0"/>
          <w:numId w:val="28"/>
        </w:numPr>
        <w:ind w:left="284" w:hanging="284"/>
        <w:rPr>
          <w:sz w:val="24"/>
        </w:rPr>
      </w:pPr>
      <w:r>
        <w:rPr>
          <w:sz w:val="24"/>
        </w:rPr>
        <w:t xml:space="preserve">Dalším řešením je využití </w:t>
      </w:r>
      <w:r w:rsidR="007B19AF">
        <w:rPr>
          <w:sz w:val="24"/>
        </w:rPr>
        <w:t>nezávislého soudu.</w:t>
      </w:r>
    </w:p>
    <w:p w14:paraId="2F945275" w14:textId="77777777" w:rsidR="007B19AF" w:rsidRDefault="007B19AF" w:rsidP="007B19AF">
      <w:pPr>
        <w:rPr>
          <w:sz w:val="24"/>
        </w:rPr>
      </w:pPr>
    </w:p>
    <w:p w14:paraId="1A1EF48F" w14:textId="7F44C516" w:rsidR="007B19AF" w:rsidRPr="007B19AF" w:rsidRDefault="007B19AF" w:rsidP="007B19AF">
      <w:pPr>
        <w:pStyle w:val="Nadpis3"/>
        <w:numPr>
          <w:ilvl w:val="0"/>
          <w:numId w:val="21"/>
        </w:numPr>
        <w:rPr>
          <w:b/>
          <w:bCs/>
          <w:u w:val="single"/>
        </w:rPr>
      </w:pPr>
      <w:r w:rsidRPr="007B19AF">
        <w:rPr>
          <w:b/>
          <w:bCs/>
          <w:u w:val="single"/>
        </w:rPr>
        <w:lastRenderedPageBreak/>
        <w:t>Předcházení sporům</w:t>
      </w:r>
      <w:r w:rsidR="00244D81">
        <w:rPr>
          <w:b/>
          <w:bCs/>
          <w:u w:val="single"/>
        </w:rPr>
        <w:t xml:space="preserve"> a zapojení dotčených zájmových skupin</w:t>
      </w:r>
    </w:p>
    <w:p w14:paraId="50DC1094" w14:textId="77777777" w:rsidR="007B19AF" w:rsidRDefault="007B19AF" w:rsidP="007B19AF">
      <w:pPr>
        <w:rPr>
          <w:sz w:val="24"/>
        </w:rPr>
      </w:pPr>
    </w:p>
    <w:p w14:paraId="2660DC89" w14:textId="5C1CCB7E" w:rsidR="007B19AF" w:rsidRDefault="006A3698" w:rsidP="00C27CAD">
      <w:pPr>
        <w:pStyle w:val="Odstavecseseznamem"/>
        <w:numPr>
          <w:ilvl w:val="0"/>
          <w:numId w:val="29"/>
        </w:numPr>
        <w:ind w:left="284" w:hanging="284"/>
        <w:rPr>
          <w:sz w:val="24"/>
        </w:rPr>
      </w:pPr>
      <w:r>
        <w:rPr>
          <w:sz w:val="24"/>
        </w:rPr>
        <w:t>Elementárním předpokladem</w:t>
      </w:r>
      <w:r w:rsidR="00B32427">
        <w:rPr>
          <w:sz w:val="24"/>
        </w:rPr>
        <w:t xml:space="preserve"> předcházení sporům je znění Principu 1 S</w:t>
      </w:r>
      <w:r w:rsidR="003D008C">
        <w:rPr>
          <w:sz w:val="24"/>
        </w:rPr>
        <w:t>tandardu</w:t>
      </w:r>
      <w:r w:rsidR="00B32427">
        <w:rPr>
          <w:sz w:val="24"/>
        </w:rPr>
        <w:t xml:space="preserve"> „</w:t>
      </w:r>
      <w:r w:rsidR="00B32427" w:rsidRPr="00B32427">
        <w:rPr>
          <w:sz w:val="24"/>
        </w:rPr>
        <w:t>Vlastník* dodržuje všechny platné zákony, regulace a Českou republikou ratifikované mezinárodní dohody, úmluvy a smlouvy.</w:t>
      </w:r>
      <w:r w:rsidR="00B32427">
        <w:rPr>
          <w:sz w:val="24"/>
        </w:rPr>
        <w:t xml:space="preserve">“ </w:t>
      </w:r>
      <w:r w:rsidR="0093664D">
        <w:rPr>
          <w:sz w:val="24"/>
        </w:rPr>
        <w:t>v</w:t>
      </w:r>
      <w:r w:rsidR="00B32427">
        <w:rPr>
          <w:sz w:val="24"/>
        </w:rPr>
        <w:t xml:space="preserve">e </w:t>
      </w:r>
      <w:r w:rsidR="0093664D">
        <w:rPr>
          <w:sz w:val="24"/>
        </w:rPr>
        <w:t>všech jeho kritériích a indikátorech.</w:t>
      </w:r>
    </w:p>
    <w:p w14:paraId="52387560" w14:textId="400C56BC" w:rsidR="0093664D" w:rsidRPr="00C27CAD" w:rsidRDefault="00E41A9D" w:rsidP="00C27CAD">
      <w:pPr>
        <w:pStyle w:val="Odstavecseseznamem"/>
        <w:numPr>
          <w:ilvl w:val="0"/>
          <w:numId w:val="29"/>
        </w:numPr>
        <w:ind w:left="284" w:hanging="284"/>
        <w:rPr>
          <w:sz w:val="24"/>
        </w:rPr>
      </w:pPr>
      <w:r>
        <w:rPr>
          <w:sz w:val="24"/>
        </w:rPr>
        <w:t xml:space="preserve">Dalším opatřením je důsledné </w:t>
      </w:r>
      <w:r w:rsidR="00821E99">
        <w:rPr>
          <w:sz w:val="24"/>
        </w:rPr>
        <w:t xml:space="preserve">naplnění </w:t>
      </w:r>
      <w:r w:rsidR="001B147F">
        <w:rPr>
          <w:sz w:val="24"/>
        </w:rPr>
        <w:t>Principu 4 St</w:t>
      </w:r>
      <w:r w:rsidR="003D008C">
        <w:rPr>
          <w:sz w:val="24"/>
        </w:rPr>
        <w:t>an</w:t>
      </w:r>
      <w:r w:rsidR="001B147F">
        <w:rPr>
          <w:sz w:val="24"/>
        </w:rPr>
        <w:t>d</w:t>
      </w:r>
      <w:r w:rsidR="003D008C">
        <w:rPr>
          <w:sz w:val="24"/>
        </w:rPr>
        <w:t>ardu</w:t>
      </w:r>
      <w:r w:rsidR="001B147F">
        <w:rPr>
          <w:sz w:val="24"/>
        </w:rPr>
        <w:t xml:space="preserve"> („Vztahy s místními obyvateli“</w:t>
      </w:r>
      <w:r w:rsidR="00D019DD">
        <w:rPr>
          <w:sz w:val="24"/>
        </w:rPr>
        <w:t xml:space="preserve">), </w:t>
      </w:r>
      <w:r w:rsidR="0050518A">
        <w:rPr>
          <w:sz w:val="24"/>
        </w:rPr>
        <w:t xml:space="preserve">zejména </w:t>
      </w:r>
      <w:r w:rsidR="007D194B">
        <w:rPr>
          <w:sz w:val="24"/>
        </w:rPr>
        <w:t>Kri</w:t>
      </w:r>
      <w:r w:rsidR="00C33437">
        <w:rPr>
          <w:sz w:val="24"/>
        </w:rPr>
        <w:t>t</w:t>
      </w:r>
      <w:r w:rsidR="007D194B">
        <w:rPr>
          <w:sz w:val="24"/>
        </w:rPr>
        <w:t xml:space="preserve">éria 1 (identifikace </w:t>
      </w:r>
      <w:r w:rsidR="00F9354C">
        <w:rPr>
          <w:sz w:val="24"/>
        </w:rPr>
        <w:t xml:space="preserve">a spolupráce s </w:t>
      </w:r>
      <w:r w:rsidR="007D194B">
        <w:rPr>
          <w:sz w:val="24"/>
        </w:rPr>
        <w:t>místní</w:t>
      </w:r>
      <w:r w:rsidR="00F9354C">
        <w:rPr>
          <w:sz w:val="24"/>
        </w:rPr>
        <w:t>mi</w:t>
      </w:r>
      <w:r w:rsidR="007D194B">
        <w:rPr>
          <w:sz w:val="24"/>
        </w:rPr>
        <w:t xml:space="preserve"> komunit</w:t>
      </w:r>
      <w:r w:rsidR="00F9354C">
        <w:rPr>
          <w:sz w:val="24"/>
        </w:rPr>
        <w:t>ami</w:t>
      </w:r>
      <w:r w:rsidR="007D194B">
        <w:rPr>
          <w:sz w:val="24"/>
        </w:rPr>
        <w:t>)</w:t>
      </w:r>
      <w:r w:rsidR="00F9354C">
        <w:rPr>
          <w:sz w:val="24"/>
        </w:rPr>
        <w:t>.</w:t>
      </w:r>
      <w:r w:rsidR="00393CA8">
        <w:rPr>
          <w:sz w:val="24"/>
        </w:rPr>
        <w:t xml:space="preserve"> Více podrobností </w:t>
      </w:r>
      <w:r w:rsidR="00C524EB">
        <w:rPr>
          <w:sz w:val="24"/>
        </w:rPr>
        <w:t>obsahují indikátory 4.1.1 a 4.1.2</w:t>
      </w:r>
      <w:r w:rsidR="00C10D40">
        <w:rPr>
          <w:sz w:val="24"/>
        </w:rPr>
        <w:t>.</w:t>
      </w:r>
    </w:p>
    <w:p w14:paraId="5E2A8649" w14:textId="77777777" w:rsidR="007B19AF" w:rsidRDefault="007B19AF" w:rsidP="007B19AF">
      <w:pPr>
        <w:rPr>
          <w:sz w:val="24"/>
        </w:rPr>
      </w:pPr>
    </w:p>
    <w:p w14:paraId="347BC274" w14:textId="77777777" w:rsidR="00EB7428" w:rsidRDefault="00EB7428" w:rsidP="007B19AF">
      <w:pPr>
        <w:rPr>
          <w:sz w:val="24"/>
        </w:rPr>
      </w:pPr>
    </w:p>
    <w:p w14:paraId="5723EBE7" w14:textId="59A4EA34" w:rsidR="00CC0D8B" w:rsidRDefault="00CC0D8B" w:rsidP="002D58F9">
      <w:pPr>
        <w:pStyle w:val="Odstavecseseznamem"/>
        <w:numPr>
          <w:ilvl w:val="0"/>
          <w:numId w:val="21"/>
        </w:numPr>
        <w:jc w:val="center"/>
        <w:rPr>
          <w:b/>
          <w:bCs/>
          <w:sz w:val="28"/>
          <w:u w:val="single"/>
        </w:rPr>
      </w:pPr>
      <w:r w:rsidRPr="00CC0D8B">
        <w:rPr>
          <w:b/>
          <w:bCs/>
          <w:sz w:val="28"/>
          <w:u w:val="single"/>
        </w:rPr>
        <w:t xml:space="preserve">Předcházení sporům a </w:t>
      </w:r>
      <w:r w:rsidR="00BD347B">
        <w:rPr>
          <w:b/>
          <w:bCs/>
          <w:sz w:val="28"/>
          <w:u w:val="single"/>
        </w:rPr>
        <w:t xml:space="preserve">jejich řešení </w:t>
      </w:r>
      <w:r w:rsidRPr="00CC0D8B">
        <w:rPr>
          <w:b/>
          <w:bCs/>
          <w:sz w:val="28"/>
          <w:u w:val="single"/>
        </w:rPr>
        <w:t>zapojení</w:t>
      </w:r>
      <w:r w:rsidR="00BD347B">
        <w:rPr>
          <w:b/>
          <w:bCs/>
          <w:sz w:val="28"/>
          <w:u w:val="single"/>
        </w:rPr>
        <w:t>m</w:t>
      </w:r>
      <w:r w:rsidRPr="00CC0D8B">
        <w:rPr>
          <w:b/>
          <w:bCs/>
          <w:sz w:val="28"/>
          <w:u w:val="single"/>
        </w:rPr>
        <w:t xml:space="preserve"> </w:t>
      </w:r>
      <w:r w:rsidR="00BD347B">
        <w:rPr>
          <w:b/>
          <w:bCs/>
          <w:sz w:val="28"/>
          <w:u w:val="single"/>
        </w:rPr>
        <w:t>pracovníků</w:t>
      </w:r>
    </w:p>
    <w:p w14:paraId="2427F9DF" w14:textId="77777777" w:rsidR="00EB7428" w:rsidRPr="00EB7428" w:rsidRDefault="00EB7428" w:rsidP="00EB7428">
      <w:pPr>
        <w:jc w:val="center"/>
        <w:rPr>
          <w:b/>
          <w:bCs/>
          <w:sz w:val="28"/>
          <w:u w:val="single"/>
        </w:rPr>
      </w:pPr>
    </w:p>
    <w:p w14:paraId="15DF3764" w14:textId="3653A495" w:rsidR="00CF1E08" w:rsidRDefault="00997C0E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 w:rsidRPr="00997C0E">
        <w:rPr>
          <w:sz w:val="24"/>
        </w:rPr>
        <w:t xml:space="preserve">Elementárním předpokladem předcházení sporům je </w:t>
      </w:r>
      <w:r w:rsidR="003E471B">
        <w:rPr>
          <w:sz w:val="24"/>
        </w:rPr>
        <w:t>právně podložené řešení pracovně právních vztahů</w:t>
      </w:r>
      <w:r w:rsidR="00960E5C">
        <w:rPr>
          <w:sz w:val="24"/>
        </w:rPr>
        <w:t xml:space="preserve"> (se zaměstnanci i pracovníky)</w:t>
      </w:r>
      <w:r w:rsidR="00C00F6B">
        <w:rPr>
          <w:sz w:val="24"/>
        </w:rPr>
        <w:t>.</w:t>
      </w:r>
    </w:p>
    <w:p w14:paraId="3269A93F" w14:textId="67785F61" w:rsidR="00C00F6B" w:rsidRDefault="00567BFC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>
        <w:rPr>
          <w:sz w:val="24"/>
        </w:rPr>
        <w:t>S</w:t>
      </w:r>
      <w:r w:rsidR="00C00F6B">
        <w:rPr>
          <w:sz w:val="24"/>
        </w:rPr>
        <w:t>por</w:t>
      </w:r>
      <w:r>
        <w:rPr>
          <w:sz w:val="24"/>
        </w:rPr>
        <w:t>y</w:t>
      </w:r>
      <w:r w:rsidR="00C00F6B">
        <w:rPr>
          <w:sz w:val="24"/>
        </w:rPr>
        <w:t xml:space="preserve"> a způsob jejich řešení </w:t>
      </w:r>
      <w:r>
        <w:rPr>
          <w:sz w:val="24"/>
        </w:rPr>
        <w:t>musí být evidovány.</w:t>
      </w:r>
    </w:p>
    <w:p w14:paraId="43AE5229" w14:textId="77777777" w:rsidR="00951D0B" w:rsidRDefault="00C81B85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>
        <w:rPr>
          <w:sz w:val="24"/>
        </w:rPr>
        <w:t xml:space="preserve">Vlastník </w:t>
      </w:r>
      <w:proofErr w:type="gramStart"/>
      <w:r w:rsidR="005B4EBE">
        <w:rPr>
          <w:sz w:val="24"/>
        </w:rPr>
        <w:t>určí</w:t>
      </w:r>
      <w:proofErr w:type="gramEnd"/>
      <w:r w:rsidR="005B4EBE">
        <w:rPr>
          <w:sz w:val="24"/>
        </w:rPr>
        <w:t xml:space="preserve"> kontaktní osobu pro řešení sporů. </w:t>
      </w:r>
    </w:p>
    <w:p w14:paraId="7A9F1253" w14:textId="71A0DF95" w:rsidR="00567BFC" w:rsidRDefault="00F4319D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>
        <w:rPr>
          <w:sz w:val="24"/>
        </w:rPr>
        <w:t xml:space="preserve">U lesních podniků / vlastníků bez vnitřní organizační struktury platí, že </w:t>
      </w:r>
      <w:r w:rsidR="000C3CCE">
        <w:rPr>
          <w:sz w:val="24"/>
        </w:rPr>
        <w:t>jediným místem pro uplatnění a řešení sporů je vlastník lesa</w:t>
      </w:r>
      <w:r w:rsidR="004C4A37">
        <w:rPr>
          <w:sz w:val="24"/>
        </w:rPr>
        <w:t>.</w:t>
      </w:r>
    </w:p>
    <w:p w14:paraId="6771BC9D" w14:textId="2D23AEAE" w:rsidR="004C4A37" w:rsidRDefault="004C4A37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>
        <w:rPr>
          <w:sz w:val="24"/>
        </w:rPr>
        <w:t xml:space="preserve">U lesních podniků s hierarchickou strukturou platí, že </w:t>
      </w:r>
      <w:r w:rsidR="003B6174">
        <w:rPr>
          <w:sz w:val="24"/>
        </w:rPr>
        <w:t>předcházení a řešení sporů se řídí jejich interními předpisy, které musí minimálně naplňovat znění této Směrnice.</w:t>
      </w:r>
      <w:r w:rsidR="0087432E">
        <w:rPr>
          <w:sz w:val="24"/>
        </w:rPr>
        <w:t xml:space="preserve"> Pokud takové interní směrnice neexistují, </w:t>
      </w:r>
      <w:r w:rsidR="00927135">
        <w:rPr>
          <w:sz w:val="24"/>
        </w:rPr>
        <w:t xml:space="preserve">je nejbližším místem pro řešení sporů nejbližší nadřízený. </w:t>
      </w:r>
      <w:r w:rsidR="00E81A8F">
        <w:rPr>
          <w:sz w:val="24"/>
        </w:rPr>
        <w:t xml:space="preserve">Zahájení řešení / vyřešení sporu se předpokládá do </w:t>
      </w:r>
      <w:r w:rsidR="00790E87">
        <w:rPr>
          <w:sz w:val="24"/>
        </w:rPr>
        <w:t xml:space="preserve">30 dnů od prokazatelného uplatnění požadavku / vzniku sporu. </w:t>
      </w:r>
      <w:r w:rsidR="00B5236A">
        <w:rPr>
          <w:sz w:val="24"/>
        </w:rPr>
        <w:t>Pokud spor není vyřešen</w:t>
      </w:r>
      <w:r w:rsidR="00EC7619">
        <w:rPr>
          <w:sz w:val="24"/>
        </w:rPr>
        <w:t xml:space="preserve"> nebo řešen časově a věcně dostatečně, </w:t>
      </w:r>
      <w:r w:rsidR="00335520">
        <w:rPr>
          <w:sz w:val="24"/>
        </w:rPr>
        <w:t xml:space="preserve">může se pracovník obrátit o pomoc mimo lesní podnik. </w:t>
      </w:r>
      <w:r w:rsidR="003E1E32">
        <w:rPr>
          <w:sz w:val="24"/>
        </w:rPr>
        <w:t>Pomoc může pracovník získat i v odborové organizaci podle jejích interních předpisů</w:t>
      </w:r>
      <w:r w:rsidR="00C32013">
        <w:rPr>
          <w:sz w:val="24"/>
        </w:rPr>
        <w:t>.</w:t>
      </w:r>
    </w:p>
    <w:p w14:paraId="2CA36060" w14:textId="54D18EAF" w:rsidR="00C32013" w:rsidRDefault="006163D0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>
        <w:rPr>
          <w:sz w:val="24"/>
        </w:rPr>
        <w:t xml:space="preserve">Existence a obsah této směrnice </w:t>
      </w:r>
      <w:r w:rsidR="001119BE">
        <w:rPr>
          <w:sz w:val="24"/>
        </w:rPr>
        <w:t xml:space="preserve">jsou projednávány při setkáních s pracovníky a jsou součástí školení </w:t>
      </w:r>
      <w:r w:rsidR="0020212F">
        <w:rPr>
          <w:sz w:val="24"/>
        </w:rPr>
        <w:t>nově přijímaných pracovníků.</w:t>
      </w:r>
    </w:p>
    <w:p w14:paraId="7A4BC0BB" w14:textId="6AF1A050" w:rsidR="003C766F" w:rsidRDefault="000041C3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>
        <w:rPr>
          <w:sz w:val="24"/>
        </w:rPr>
        <w:t xml:space="preserve">Směrnice je respektována při jednáních a </w:t>
      </w:r>
      <w:r w:rsidR="00BE5A90">
        <w:rPr>
          <w:sz w:val="24"/>
        </w:rPr>
        <w:t>tvorbě dohod s místními komunitami a zájmovými skupinami.</w:t>
      </w:r>
    </w:p>
    <w:p w14:paraId="57CEB934" w14:textId="7043A722" w:rsidR="00CE7EEA" w:rsidRDefault="00CE7EEA" w:rsidP="00960E5C">
      <w:pPr>
        <w:pStyle w:val="Odstavecseseznamem"/>
        <w:numPr>
          <w:ilvl w:val="0"/>
          <w:numId w:val="30"/>
        </w:numPr>
        <w:ind w:left="284" w:hanging="284"/>
        <w:rPr>
          <w:sz w:val="24"/>
        </w:rPr>
      </w:pPr>
      <w:r>
        <w:rPr>
          <w:sz w:val="24"/>
        </w:rPr>
        <w:t>Tato Směrnice musí být veřejně dostupná</w:t>
      </w:r>
      <w:r w:rsidR="000445AE">
        <w:rPr>
          <w:sz w:val="24"/>
        </w:rPr>
        <w:t xml:space="preserve"> (ve smyslu definice pojmů ze Standardu)</w:t>
      </w:r>
      <w:r>
        <w:rPr>
          <w:sz w:val="24"/>
        </w:rPr>
        <w:t>.</w:t>
      </w:r>
    </w:p>
    <w:p w14:paraId="41BBD4B0" w14:textId="77777777" w:rsidR="00942607" w:rsidRPr="00997C0E" w:rsidRDefault="00942607" w:rsidP="00942607">
      <w:pPr>
        <w:pStyle w:val="Odstavecseseznamem"/>
        <w:ind w:left="284"/>
        <w:rPr>
          <w:sz w:val="24"/>
        </w:rPr>
      </w:pPr>
    </w:p>
    <w:p w14:paraId="5BF69517" w14:textId="77777777" w:rsidR="00942607" w:rsidRPr="0079397D" w:rsidRDefault="00942607" w:rsidP="0079397D">
      <w:pPr>
        <w:pStyle w:val="Odstavecseseznamem"/>
        <w:ind w:left="284"/>
        <w:rPr>
          <w:sz w:val="24"/>
        </w:rPr>
      </w:pPr>
    </w:p>
    <w:p w14:paraId="010F6B82" w14:textId="039DE8BF" w:rsidR="007B19AF" w:rsidRPr="0073259B" w:rsidRDefault="00400FD8" w:rsidP="0073259B">
      <w:pPr>
        <w:pStyle w:val="Odstavecseseznamem"/>
        <w:numPr>
          <w:ilvl w:val="0"/>
          <w:numId w:val="21"/>
        </w:numPr>
        <w:jc w:val="center"/>
        <w:rPr>
          <w:b/>
          <w:bCs/>
          <w:sz w:val="28"/>
          <w:u w:val="single"/>
        </w:rPr>
      </w:pPr>
      <w:r w:rsidRPr="00FA6E27">
        <w:rPr>
          <w:b/>
          <w:bCs/>
          <w:sz w:val="28"/>
          <w:u w:val="single"/>
        </w:rPr>
        <w:t xml:space="preserve">Platnost a vztah </w:t>
      </w:r>
      <w:r w:rsidR="00FA6E27" w:rsidRPr="00FA6E27">
        <w:rPr>
          <w:b/>
          <w:bCs/>
          <w:sz w:val="28"/>
          <w:u w:val="single"/>
        </w:rPr>
        <w:t>Směrnice k interním směrnicím lesních podniků a vlastníků</w:t>
      </w:r>
    </w:p>
    <w:p w14:paraId="24E306C9" w14:textId="77777777" w:rsidR="00FA6E27" w:rsidRDefault="00FA6E27" w:rsidP="00FA6E27"/>
    <w:p w14:paraId="01CAC7AF" w14:textId="77777777" w:rsidR="00FA6E27" w:rsidRDefault="00FA6E27" w:rsidP="00FA6E27"/>
    <w:p w14:paraId="53873337" w14:textId="5A551DD6" w:rsidR="00931BB2" w:rsidRPr="004C0EE9" w:rsidRDefault="004F6BB8" w:rsidP="006B221A">
      <w:pPr>
        <w:rPr>
          <w:sz w:val="24"/>
        </w:rPr>
      </w:pPr>
      <w:r w:rsidRPr="00F40E08">
        <w:rPr>
          <w:sz w:val="24"/>
        </w:rPr>
        <w:t xml:space="preserve">Tato směrnice je </w:t>
      </w:r>
      <w:r w:rsidR="003A0882" w:rsidRPr="00F40E08">
        <w:rPr>
          <w:sz w:val="24"/>
        </w:rPr>
        <w:t xml:space="preserve">v oblasti </w:t>
      </w:r>
      <w:r w:rsidR="00A12AFB" w:rsidRPr="00F40E08">
        <w:rPr>
          <w:sz w:val="24"/>
        </w:rPr>
        <w:t xml:space="preserve">etiky a řešení sporů </w:t>
      </w:r>
      <w:r w:rsidR="003A0882" w:rsidRPr="00F40E08">
        <w:rPr>
          <w:sz w:val="24"/>
        </w:rPr>
        <w:t xml:space="preserve">minimálním </w:t>
      </w:r>
      <w:r w:rsidRPr="00F40E08">
        <w:rPr>
          <w:sz w:val="24"/>
        </w:rPr>
        <w:t xml:space="preserve">rámcem </w:t>
      </w:r>
      <w:r w:rsidR="003A0882" w:rsidRPr="00F40E08">
        <w:rPr>
          <w:sz w:val="24"/>
        </w:rPr>
        <w:t>pro případné další interní směrnice lesních podniků a vlastníků</w:t>
      </w:r>
      <w:r w:rsidR="00F40E08" w:rsidRPr="00F40E08">
        <w:rPr>
          <w:sz w:val="24"/>
        </w:rPr>
        <w:t>.</w:t>
      </w:r>
    </w:p>
    <w:sectPr w:rsidR="00931BB2" w:rsidRPr="004C0EE9" w:rsidSect="00497698">
      <w:pgSz w:w="11906" w:h="16838" w:code="9"/>
      <w:pgMar w:top="1418" w:right="851" w:bottom="851" w:left="851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6B1FD" w14:textId="77777777" w:rsidR="00620AA1" w:rsidRDefault="00620AA1">
      <w:r>
        <w:separator/>
      </w:r>
    </w:p>
  </w:endnote>
  <w:endnote w:type="continuationSeparator" w:id="0">
    <w:p w14:paraId="487C52C9" w14:textId="77777777" w:rsidR="00620AA1" w:rsidRDefault="0062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501B" w14:textId="77777777" w:rsidR="00620AA1" w:rsidRDefault="00620AA1">
      <w:r>
        <w:separator/>
      </w:r>
    </w:p>
  </w:footnote>
  <w:footnote w:type="continuationSeparator" w:id="0">
    <w:p w14:paraId="74D8D445" w14:textId="77777777" w:rsidR="00620AA1" w:rsidRDefault="0062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300"/>
    <w:multiLevelType w:val="hybridMultilevel"/>
    <w:tmpl w:val="6DAA8A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B43CC"/>
    <w:multiLevelType w:val="hybridMultilevel"/>
    <w:tmpl w:val="82AEDEFE"/>
    <w:lvl w:ilvl="0" w:tplc="06EE5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6FBB"/>
    <w:multiLevelType w:val="hybridMultilevel"/>
    <w:tmpl w:val="90EAD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03A41"/>
    <w:multiLevelType w:val="hybridMultilevel"/>
    <w:tmpl w:val="CB643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102"/>
    <w:multiLevelType w:val="hybridMultilevel"/>
    <w:tmpl w:val="38A46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9791C"/>
    <w:multiLevelType w:val="hybridMultilevel"/>
    <w:tmpl w:val="B860EE78"/>
    <w:lvl w:ilvl="0" w:tplc="C6461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D3BC7"/>
    <w:multiLevelType w:val="hybridMultilevel"/>
    <w:tmpl w:val="C62CF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1EB5"/>
    <w:multiLevelType w:val="hybridMultilevel"/>
    <w:tmpl w:val="643CC24A"/>
    <w:lvl w:ilvl="0" w:tplc="4C62D3AE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3D54CEF"/>
    <w:multiLevelType w:val="hybridMultilevel"/>
    <w:tmpl w:val="9A622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4591E"/>
    <w:multiLevelType w:val="hybridMultilevel"/>
    <w:tmpl w:val="87FEC082"/>
    <w:lvl w:ilvl="0" w:tplc="3224DC5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F18C7"/>
    <w:multiLevelType w:val="hybridMultilevel"/>
    <w:tmpl w:val="C0AAE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C19BF"/>
    <w:multiLevelType w:val="hybridMultilevel"/>
    <w:tmpl w:val="9988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E38E9"/>
    <w:multiLevelType w:val="hybridMultilevel"/>
    <w:tmpl w:val="CF605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D276B"/>
    <w:multiLevelType w:val="hybridMultilevel"/>
    <w:tmpl w:val="A3D82932"/>
    <w:lvl w:ilvl="0" w:tplc="F24049BC">
      <w:start w:val="1"/>
      <w:numFmt w:val="upperLetter"/>
      <w:pStyle w:val="Nadpis5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82391"/>
    <w:multiLevelType w:val="hybridMultilevel"/>
    <w:tmpl w:val="B73AD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033C3"/>
    <w:multiLevelType w:val="hybridMultilevel"/>
    <w:tmpl w:val="03A2C46C"/>
    <w:lvl w:ilvl="0" w:tplc="876E307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9735DF"/>
    <w:multiLevelType w:val="hybridMultilevel"/>
    <w:tmpl w:val="D7043F7C"/>
    <w:lvl w:ilvl="0" w:tplc="24C29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B146F"/>
    <w:multiLevelType w:val="hybridMultilevel"/>
    <w:tmpl w:val="8A8C9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FA5485"/>
    <w:multiLevelType w:val="hybridMultilevel"/>
    <w:tmpl w:val="A1245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148FD"/>
    <w:multiLevelType w:val="hybridMultilevel"/>
    <w:tmpl w:val="6A1C2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618DE">
      <w:start w:val="1"/>
      <w:numFmt w:val="upperRoman"/>
      <w:pStyle w:val="Nadpis8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1E28C4"/>
    <w:multiLevelType w:val="hybridMultilevel"/>
    <w:tmpl w:val="A15A85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2483"/>
    <w:multiLevelType w:val="hybridMultilevel"/>
    <w:tmpl w:val="F3861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5E3847"/>
    <w:multiLevelType w:val="hybridMultilevel"/>
    <w:tmpl w:val="06741158"/>
    <w:lvl w:ilvl="0" w:tplc="A0962A6E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 w15:restartNumberingAfterBreak="0">
    <w:nsid w:val="60B078DB"/>
    <w:multiLevelType w:val="hybridMultilevel"/>
    <w:tmpl w:val="29B44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4571C"/>
    <w:multiLevelType w:val="hybridMultilevel"/>
    <w:tmpl w:val="C046D8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7C59F4"/>
    <w:multiLevelType w:val="hybridMultilevel"/>
    <w:tmpl w:val="22C8B19A"/>
    <w:lvl w:ilvl="0" w:tplc="BFACA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6E7F74"/>
    <w:multiLevelType w:val="hybridMultilevel"/>
    <w:tmpl w:val="B700F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0ABA"/>
    <w:multiLevelType w:val="hybridMultilevel"/>
    <w:tmpl w:val="4C7A4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9123">
    <w:abstractNumId w:val="14"/>
  </w:num>
  <w:num w:numId="2" w16cid:durableId="1285430024">
    <w:abstractNumId w:val="15"/>
  </w:num>
  <w:num w:numId="3" w16cid:durableId="1003166067">
    <w:abstractNumId w:val="9"/>
  </w:num>
  <w:num w:numId="4" w16cid:durableId="191840816">
    <w:abstractNumId w:val="23"/>
  </w:num>
  <w:num w:numId="5" w16cid:durableId="1382903020">
    <w:abstractNumId w:val="2"/>
  </w:num>
  <w:num w:numId="6" w16cid:durableId="204412100">
    <w:abstractNumId w:val="12"/>
  </w:num>
  <w:num w:numId="7" w16cid:durableId="684332657">
    <w:abstractNumId w:val="13"/>
  </w:num>
  <w:num w:numId="8" w16cid:durableId="351609756">
    <w:abstractNumId w:val="19"/>
  </w:num>
  <w:num w:numId="9" w16cid:durableId="1656839456">
    <w:abstractNumId w:val="13"/>
  </w:num>
  <w:num w:numId="10" w16cid:durableId="1922829242">
    <w:abstractNumId w:val="13"/>
  </w:num>
  <w:num w:numId="11" w16cid:durableId="1957835926">
    <w:abstractNumId w:val="7"/>
  </w:num>
  <w:num w:numId="12" w16cid:durableId="643047674">
    <w:abstractNumId w:val="17"/>
  </w:num>
  <w:num w:numId="13" w16cid:durableId="411699831">
    <w:abstractNumId w:val="0"/>
  </w:num>
  <w:num w:numId="14" w16cid:durableId="1868906092">
    <w:abstractNumId w:val="8"/>
  </w:num>
  <w:num w:numId="15" w16cid:durableId="884215744">
    <w:abstractNumId w:val="24"/>
  </w:num>
  <w:num w:numId="16" w16cid:durableId="2040206301">
    <w:abstractNumId w:val="4"/>
  </w:num>
  <w:num w:numId="17" w16cid:durableId="2009283207">
    <w:abstractNumId w:val="21"/>
  </w:num>
  <w:num w:numId="18" w16cid:durableId="987633651">
    <w:abstractNumId w:val="10"/>
  </w:num>
  <w:num w:numId="19" w16cid:durableId="696388590">
    <w:abstractNumId w:val="27"/>
  </w:num>
  <w:num w:numId="20" w16cid:durableId="1464888614">
    <w:abstractNumId w:val="20"/>
  </w:num>
  <w:num w:numId="21" w16cid:durableId="750273958">
    <w:abstractNumId w:val="1"/>
  </w:num>
  <w:num w:numId="22" w16cid:durableId="1164784047">
    <w:abstractNumId w:val="5"/>
  </w:num>
  <w:num w:numId="23" w16cid:durableId="2011566884">
    <w:abstractNumId w:val="26"/>
  </w:num>
  <w:num w:numId="24" w16cid:durableId="465204598">
    <w:abstractNumId w:val="11"/>
  </w:num>
  <w:num w:numId="25" w16cid:durableId="1620725702">
    <w:abstractNumId w:val="16"/>
  </w:num>
  <w:num w:numId="26" w16cid:durableId="1206599226">
    <w:abstractNumId w:val="25"/>
  </w:num>
  <w:num w:numId="27" w16cid:durableId="795221318">
    <w:abstractNumId w:val="22"/>
  </w:num>
  <w:num w:numId="28" w16cid:durableId="178475792">
    <w:abstractNumId w:val="18"/>
  </w:num>
  <w:num w:numId="29" w16cid:durableId="828055909">
    <w:abstractNumId w:val="3"/>
  </w:num>
  <w:num w:numId="30" w16cid:durableId="323969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A5"/>
    <w:rsid w:val="000019B8"/>
    <w:rsid w:val="00003A89"/>
    <w:rsid w:val="000041C3"/>
    <w:rsid w:val="000211B9"/>
    <w:rsid w:val="0003183C"/>
    <w:rsid w:val="000427CD"/>
    <w:rsid w:val="000445AE"/>
    <w:rsid w:val="0005190F"/>
    <w:rsid w:val="00056A0B"/>
    <w:rsid w:val="000972B7"/>
    <w:rsid w:val="000C0A8A"/>
    <w:rsid w:val="000C32D4"/>
    <w:rsid w:val="000C3CCE"/>
    <w:rsid w:val="000D3CFD"/>
    <w:rsid w:val="00100CDC"/>
    <w:rsid w:val="001119BE"/>
    <w:rsid w:val="00115B83"/>
    <w:rsid w:val="001356AD"/>
    <w:rsid w:val="001414DE"/>
    <w:rsid w:val="0017785C"/>
    <w:rsid w:val="00181952"/>
    <w:rsid w:val="00184319"/>
    <w:rsid w:val="00185C91"/>
    <w:rsid w:val="001A6908"/>
    <w:rsid w:val="001B147F"/>
    <w:rsid w:val="001C3656"/>
    <w:rsid w:val="001D1E2F"/>
    <w:rsid w:val="0020212F"/>
    <w:rsid w:val="00213E20"/>
    <w:rsid w:val="00242D6E"/>
    <w:rsid w:val="00244853"/>
    <w:rsid w:val="00244D81"/>
    <w:rsid w:val="002501B3"/>
    <w:rsid w:val="00253C88"/>
    <w:rsid w:val="00280C2A"/>
    <w:rsid w:val="002A16ED"/>
    <w:rsid w:val="002C32DE"/>
    <w:rsid w:val="002D58F9"/>
    <w:rsid w:val="002D78E4"/>
    <w:rsid w:val="00335520"/>
    <w:rsid w:val="00340DAB"/>
    <w:rsid w:val="00351A73"/>
    <w:rsid w:val="00366107"/>
    <w:rsid w:val="0037569A"/>
    <w:rsid w:val="00393CA8"/>
    <w:rsid w:val="003A0882"/>
    <w:rsid w:val="003A0DC3"/>
    <w:rsid w:val="003B6174"/>
    <w:rsid w:val="003C26B4"/>
    <w:rsid w:val="003C766F"/>
    <w:rsid w:val="003D008C"/>
    <w:rsid w:val="003E1E32"/>
    <w:rsid w:val="003E471B"/>
    <w:rsid w:val="003F691B"/>
    <w:rsid w:val="00400FD8"/>
    <w:rsid w:val="00416C34"/>
    <w:rsid w:val="0042706B"/>
    <w:rsid w:val="0044220B"/>
    <w:rsid w:val="00442576"/>
    <w:rsid w:val="004569CF"/>
    <w:rsid w:val="00457367"/>
    <w:rsid w:val="004623DA"/>
    <w:rsid w:val="00495BB2"/>
    <w:rsid w:val="00497698"/>
    <w:rsid w:val="004B135B"/>
    <w:rsid w:val="004B5864"/>
    <w:rsid w:val="004C0EE9"/>
    <w:rsid w:val="004C4A37"/>
    <w:rsid w:val="004F6BB8"/>
    <w:rsid w:val="00503B5E"/>
    <w:rsid w:val="00504BD9"/>
    <w:rsid w:val="0050518A"/>
    <w:rsid w:val="00506BDC"/>
    <w:rsid w:val="0056342E"/>
    <w:rsid w:val="00567BFC"/>
    <w:rsid w:val="0058240E"/>
    <w:rsid w:val="005869B1"/>
    <w:rsid w:val="005B48B0"/>
    <w:rsid w:val="005B4EBE"/>
    <w:rsid w:val="005E04CB"/>
    <w:rsid w:val="005F4CBC"/>
    <w:rsid w:val="00614541"/>
    <w:rsid w:val="006163D0"/>
    <w:rsid w:val="00620AA1"/>
    <w:rsid w:val="0063207E"/>
    <w:rsid w:val="00660987"/>
    <w:rsid w:val="00662D1A"/>
    <w:rsid w:val="00680B64"/>
    <w:rsid w:val="00684A56"/>
    <w:rsid w:val="006A3698"/>
    <w:rsid w:val="006B221A"/>
    <w:rsid w:val="006C6092"/>
    <w:rsid w:val="006F1E96"/>
    <w:rsid w:val="00700E8C"/>
    <w:rsid w:val="00712429"/>
    <w:rsid w:val="007233D7"/>
    <w:rsid w:val="00730732"/>
    <w:rsid w:val="0073259B"/>
    <w:rsid w:val="00747A5A"/>
    <w:rsid w:val="00786A5D"/>
    <w:rsid w:val="00790265"/>
    <w:rsid w:val="00790E87"/>
    <w:rsid w:val="0079397D"/>
    <w:rsid w:val="007A39D6"/>
    <w:rsid w:val="007A51AE"/>
    <w:rsid w:val="007B19AF"/>
    <w:rsid w:val="007D0C6F"/>
    <w:rsid w:val="007D194B"/>
    <w:rsid w:val="007D7359"/>
    <w:rsid w:val="0081595D"/>
    <w:rsid w:val="00821E99"/>
    <w:rsid w:val="00851C40"/>
    <w:rsid w:val="00862964"/>
    <w:rsid w:val="0087432E"/>
    <w:rsid w:val="00890F7C"/>
    <w:rsid w:val="008965D9"/>
    <w:rsid w:val="008D11F8"/>
    <w:rsid w:val="00927135"/>
    <w:rsid w:val="00931BB2"/>
    <w:rsid w:val="0093664D"/>
    <w:rsid w:val="00941D4F"/>
    <w:rsid w:val="00942607"/>
    <w:rsid w:val="00951D0B"/>
    <w:rsid w:val="009564F2"/>
    <w:rsid w:val="009601CB"/>
    <w:rsid w:val="00960E5C"/>
    <w:rsid w:val="009934A4"/>
    <w:rsid w:val="00995567"/>
    <w:rsid w:val="00997C0E"/>
    <w:rsid w:val="009C2A14"/>
    <w:rsid w:val="009D6D48"/>
    <w:rsid w:val="00A05B1D"/>
    <w:rsid w:val="00A113DA"/>
    <w:rsid w:val="00A12AFB"/>
    <w:rsid w:val="00A14836"/>
    <w:rsid w:val="00A3005D"/>
    <w:rsid w:val="00A57EFB"/>
    <w:rsid w:val="00A8052E"/>
    <w:rsid w:val="00AA4E16"/>
    <w:rsid w:val="00AA788C"/>
    <w:rsid w:val="00AD5D95"/>
    <w:rsid w:val="00B17E49"/>
    <w:rsid w:val="00B21767"/>
    <w:rsid w:val="00B27E24"/>
    <w:rsid w:val="00B32427"/>
    <w:rsid w:val="00B32DA7"/>
    <w:rsid w:val="00B362D9"/>
    <w:rsid w:val="00B50F3C"/>
    <w:rsid w:val="00B5236A"/>
    <w:rsid w:val="00B57D51"/>
    <w:rsid w:val="00B60569"/>
    <w:rsid w:val="00B676B4"/>
    <w:rsid w:val="00B86260"/>
    <w:rsid w:val="00BA54AB"/>
    <w:rsid w:val="00BC336F"/>
    <w:rsid w:val="00BC48CB"/>
    <w:rsid w:val="00BD0B40"/>
    <w:rsid w:val="00BD14AE"/>
    <w:rsid w:val="00BD2EA5"/>
    <w:rsid w:val="00BD347B"/>
    <w:rsid w:val="00BE5A90"/>
    <w:rsid w:val="00BE6619"/>
    <w:rsid w:val="00C00F6B"/>
    <w:rsid w:val="00C10D40"/>
    <w:rsid w:val="00C234A5"/>
    <w:rsid w:val="00C2377E"/>
    <w:rsid w:val="00C27CAD"/>
    <w:rsid w:val="00C30F8A"/>
    <w:rsid w:val="00C32013"/>
    <w:rsid w:val="00C33437"/>
    <w:rsid w:val="00C452B9"/>
    <w:rsid w:val="00C524EB"/>
    <w:rsid w:val="00C62CCF"/>
    <w:rsid w:val="00C679FC"/>
    <w:rsid w:val="00C81B85"/>
    <w:rsid w:val="00CA2C06"/>
    <w:rsid w:val="00CB5914"/>
    <w:rsid w:val="00CC0D8B"/>
    <w:rsid w:val="00CD42B4"/>
    <w:rsid w:val="00CE5883"/>
    <w:rsid w:val="00CE7EEA"/>
    <w:rsid w:val="00CF1E08"/>
    <w:rsid w:val="00D003EA"/>
    <w:rsid w:val="00D01939"/>
    <w:rsid w:val="00D019DD"/>
    <w:rsid w:val="00D44D3D"/>
    <w:rsid w:val="00D55473"/>
    <w:rsid w:val="00D72B37"/>
    <w:rsid w:val="00D75A3B"/>
    <w:rsid w:val="00D92B00"/>
    <w:rsid w:val="00DC11AF"/>
    <w:rsid w:val="00DC6D9D"/>
    <w:rsid w:val="00DF0C36"/>
    <w:rsid w:val="00DF1CCE"/>
    <w:rsid w:val="00DF5696"/>
    <w:rsid w:val="00DF79FD"/>
    <w:rsid w:val="00E34271"/>
    <w:rsid w:val="00E35253"/>
    <w:rsid w:val="00E414C8"/>
    <w:rsid w:val="00E41A9D"/>
    <w:rsid w:val="00E74614"/>
    <w:rsid w:val="00E74FD3"/>
    <w:rsid w:val="00E81A8F"/>
    <w:rsid w:val="00E96BD9"/>
    <w:rsid w:val="00EA66F5"/>
    <w:rsid w:val="00EB7428"/>
    <w:rsid w:val="00EC1FBA"/>
    <w:rsid w:val="00EC7619"/>
    <w:rsid w:val="00ED155E"/>
    <w:rsid w:val="00ED29D3"/>
    <w:rsid w:val="00EF5B94"/>
    <w:rsid w:val="00F02EA8"/>
    <w:rsid w:val="00F04C0D"/>
    <w:rsid w:val="00F275EC"/>
    <w:rsid w:val="00F36FE4"/>
    <w:rsid w:val="00F40E08"/>
    <w:rsid w:val="00F4319D"/>
    <w:rsid w:val="00F44E29"/>
    <w:rsid w:val="00F5236A"/>
    <w:rsid w:val="00F61344"/>
    <w:rsid w:val="00F62B9F"/>
    <w:rsid w:val="00F9354C"/>
    <w:rsid w:val="00F9469F"/>
    <w:rsid w:val="00F94F5F"/>
    <w:rsid w:val="00FA6E27"/>
    <w:rsid w:val="00FB3694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7321F"/>
  <w15:docId w15:val="{37D805F4-7642-4259-A2A0-A0E25FD7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1"/>
        <w:numId w:val="8"/>
      </w:numPr>
      <w:tabs>
        <w:tab w:val="clear" w:pos="1800"/>
      </w:tabs>
      <w:ind w:left="1418" w:hanging="1800"/>
      <w:jc w:val="center"/>
      <w:outlineLvl w:val="7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567" w:right="-2" w:hanging="567"/>
    </w:pPr>
    <w:rPr>
      <w:sz w:val="22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ind w:firstLine="426"/>
    </w:pPr>
    <w:rPr>
      <w:sz w:val="22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E96BD9"/>
    <w:rPr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42706B"/>
    <w:pPr>
      <w:ind w:left="720"/>
      <w:contextualSpacing/>
    </w:pPr>
  </w:style>
  <w:style w:type="paragraph" w:styleId="Revize">
    <w:name w:val="Revision"/>
    <w:hidden/>
    <w:uiPriority w:val="99"/>
    <w:semiHidden/>
    <w:rsid w:val="00DF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779E-6E7E-464A-901F-028DE751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Projektům 2001</vt:lpstr>
    </vt:vector>
  </TitlesOfParts>
  <Company>Milan Hron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Projektům 2001</dc:title>
  <dc:creator>Hronová Božena</dc:creator>
  <cp:lastModifiedBy>Lukáš Vaníček</cp:lastModifiedBy>
  <cp:revision>116</cp:revision>
  <cp:lastPrinted>2016-12-08T10:07:00Z</cp:lastPrinted>
  <dcterms:created xsi:type="dcterms:W3CDTF">2024-06-07T07:07:00Z</dcterms:created>
  <dcterms:modified xsi:type="dcterms:W3CDTF">2024-08-14T13:19:00Z</dcterms:modified>
</cp:coreProperties>
</file>